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C4BB1" w14:textId="77777777" w:rsidR="00411445" w:rsidRPr="00411445" w:rsidRDefault="00411445" w:rsidP="00411445">
      <w:pPr>
        <w:spacing w:before="100" w:beforeAutospacing="1" w:after="100" w:afterAutospacing="1" w:line="240" w:lineRule="auto"/>
        <w:outlineLvl w:val="0"/>
        <w:rPr>
          <w:rFonts w:ascii="Arial" w:eastAsia="Times New Roman" w:hAnsi="Arial" w:cs="Arial"/>
          <w:b/>
          <w:bCs/>
          <w:color w:val="222222"/>
          <w:kern w:val="36"/>
          <w:sz w:val="48"/>
          <w:szCs w:val="48"/>
          <w:lang w:eastAsia="en-GB"/>
          <w14:ligatures w14:val="none"/>
        </w:rPr>
      </w:pPr>
      <w:r w:rsidRPr="00411445">
        <w:rPr>
          <w:rFonts w:ascii="Arial" w:eastAsia="Times New Roman" w:hAnsi="Arial" w:cs="Arial"/>
          <w:b/>
          <w:bCs/>
          <w:color w:val="222222"/>
          <w:kern w:val="36"/>
          <w:sz w:val="48"/>
          <w:szCs w:val="48"/>
          <w:lang w:eastAsia="en-GB"/>
          <w14:ligatures w14:val="none"/>
        </w:rPr>
        <w:t>Knowledge library MG-001</w:t>
      </w:r>
    </w:p>
    <w:p w14:paraId="62B097C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BBC466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MERAXES SECURE LTD</w:t>
      </w:r>
    </w:p>
    <w:p w14:paraId="70E68AD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769C36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MG-001</w:t>
      </w:r>
    </w:p>
    <w:p w14:paraId="0F7B44E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7101C8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Understanding Martyn’s Law</w:t>
      </w:r>
    </w:p>
    <w:p w14:paraId="102243A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D8924E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A Practical Guide to the Terrorism (Protection of Premises) Act 2025</w:t>
      </w:r>
    </w:p>
    <w:p w14:paraId="615941E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84122A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Protecting People. Places. Purpose.</w:t>
      </w:r>
    </w:p>
    <w:p w14:paraId="35DBAA0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7159E7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Document Reference:</w:t>
      </w:r>
      <w:r w:rsidRPr="00411445">
        <w:rPr>
          <w:rFonts w:ascii="Arial" w:eastAsia="Times New Roman" w:hAnsi="Arial" w:cs="Arial"/>
          <w:color w:val="222222"/>
          <w:kern w:val="0"/>
          <w:lang w:eastAsia="en-GB"/>
          <w14:ligatures w14:val="none"/>
        </w:rPr>
        <w:t> MG-001</w:t>
      </w:r>
    </w:p>
    <w:p w14:paraId="236CF44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5E31DD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Version:</w:t>
      </w:r>
      <w:r w:rsidRPr="00411445">
        <w:rPr>
          <w:rFonts w:ascii="Arial" w:eastAsia="Times New Roman" w:hAnsi="Arial" w:cs="Arial"/>
          <w:color w:val="222222"/>
          <w:kern w:val="0"/>
          <w:lang w:eastAsia="en-GB"/>
          <w14:ligatures w14:val="none"/>
        </w:rPr>
        <w:t> 2.0</w:t>
      </w:r>
    </w:p>
    <w:p w14:paraId="14FD35E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1097C2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Classification:</w:t>
      </w:r>
      <w:r w:rsidRPr="00411445">
        <w:rPr>
          <w:rFonts w:ascii="Arial" w:eastAsia="Times New Roman" w:hAnsi="Arial" w:cs="Arial"/>
          <w:color w:val="222222"/>
          <w:kern w:val="0"/>
          <w:lang w:eastAsia="en-GB"/>
          <w14:ligatures w14:val="none"/>
        </w:rPr>
        <w:t> Public Guidance</w:t>
      </w:r>
    </w:p>
    <w:p w14:paraId="73EC44C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A1735A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Reading Time:</w:t>
      </w:r>
      <w:r w:rsidRPr="00411445">
        <w:rPr>
          <w:rFonts w:ascii="Arial" w:eastAsia="Times New Roman" w:hAnsi="Arial" w:cs="Arial"/>
          <w:color w:val="222222"/>
          <w:kern w:val="0"/>
          <w:lang w:eastAsia="en-GB"/>
          <w14:ligatures w14:val="none"/>
        </w:rPr>
        <w:t> Approximately 10 minutes</w:t>
      </w:r>
    </w:p>
    <w:p w14:paraId="7771F35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991999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Audience:</w:t>
      </w:r>
      <w:r w:rsidRPr="00411445">
        <w:rPr>
          <w:rFonts w:ascii="Arial" w:eastAsia="Times New Roman" w:hAnsi="Arial" w:cs="Arial"/>
          <w:color w:val="222222"/>
          <w:kern w:val="0"/>
          <w:lang w:eastAsia="en-GB"/>
          <w14:ligatures w14:val="none"/>
        </w:rPr>
        <w:t> Business owners, venue managers, trustees, responsible persons, event organisers and facilities managers.</w:t>
      </w:r>
    </w:p>
    <w:p w14:paraId="1C1A763D" w14:textId="341E917A" w:rsidR="00411445" w:rsidRDefault="00411445" w:rsidP="00411445">
      <w:pPr>
        <w:spacing w:after="0" w:line="240" w:lineRule="auto"/>
        <w:rPr>
          <w:rFonts w:ascii="Arial" w:eastAsia="Times New Roman" w:hAnsi="Arial" w:cs="Arial"/>
          <w:color w:val="222222"/>
          <w:kern w:val="0"/>
          <w:lang w:eastAsia="en-GB"/>
          <w14:ligatures w14:val="none"/>
        </w:rPr>
      </w:pPr>
    </w:p>
    <w:p w14:paraId="3E70181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E36BC8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4EB73F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About this Guide</w:t>
      </w:r>
    </w:p>
    <w:p w14:paraId="67CD8EC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3EBF270" w14:textId="02B55238"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Terrorism (Protection of Premises) Act 2025</w:t>
      </w:r>
      <w:r>
        <w:rPr>
          <w:rFonts w:ascii="Arial" w:eastAsia="Times New Roman" w:hAnsi="Arial" w:cs="Arial"/>
          <w:color w:val="222222"/>
          <w:kern w:val="0"/>
          <w:lang w:eastAsia="en-GB"/>
          <w14:ligatures w14:val="none"/>
        </w:rPr>
        <w:t xml:space="preserve">, </w:t>
      </w:r>
      <w:r w:rsidRPr="00411445">
        <w:rPr>
          <w:rFonts w:ascii="Arial" w:eastAsia="Times New Roman" w:hAnsi="Arial" w:cs="Arial"/>
          <w:color w:val="222222"/>
          <w:kern w:val="0"/>
          <w:lang w:eastAsia="en-GB"/>
          <w14:ligatures w14:val="none"/>
        </w:rPr>
        <w:t>commonly referred to as </w:t>
      </w:r>
      <w:r w:rsidRPr="00411445">
        <w:rPr>
          <w:rFonts w:ascii="Arial" w:eastAsia="Times New Roman" w:hAnsi="Arial" w:cs="Arial"/>
          <w:b/>
          <w:bCs/>
          <w:color w:val="222222"/>
          <w:kern w:val="0"/>
          <w:lang w:eastAsia="en-GB"/>
          <w14:ligatures w14:val="none"/>
        </w:rPr>
        <w:t>Martyn’s Law</w:t>
      </w:r>
      <w:r>
        <w:rPr>
          <w:rFonts w:ascii="Arial" w:eastAsia="Times New Roman" w:hAnsi="Arial" w:cs="Arial"/>
          <w:color w:val="222222"/>
          <w:kern w:val="0"/>
          <w:lang w:eastAsia="en-GB"/>
          <w14:ligatures w14:val="none"/>
        </w:rPr>
        <w:t xml:space="preserve">, </w:t>
      </w:r>
      <w:r w:rsidRPr="00411445">
        <w:rPr>
          <w:rFonts w:ascii="Arial" w:eastAsia="Times New Roman" w:hAnsi="Arial" w:cs="Arial"/>
          <w:color w:val="222222"/>
          <w:kern w:val="0"/>
          <w:lang w:eastAsia="en-GB"/>
          <w14:ligatures w14:val="none"/>
        </w:rPr>
        <w:t>introduces legal responsibilities for those responsible for certain publicly accessible premises and events.</w:t>
      </w:r>
    </w:p>
    <w:p w14:paraId="1DC093B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FEFDC4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 xml:space="preserve">For many organisations, this represents the </w:t>
      </w:r>
      <w:proofErr w:type="gramStart"/>
      <w:r w:rsidRPr="00411445">
        <w:rPr>
          <w:rFonts w:ascii="Arial" w:eastAsia="Times New Roman" w:hAnsi="Arial" w:cs="Arial"/>
          <w:color w:val="222222"/>
          <w:kern w:val="0"/>
          <w:lang w:eastAsia="en-GB"/>
          <w14:ligatures w14:val="none"/>
        </w:rPr>
        <w:t>first time</w:t>
      </w:r>
      <w:proofErr w:type="gramEnd"/>
      <w:r w:rsidRPr="00411445">
        <w:rPr>
          <w:rFonts w:ascii="Arial" w:eastAsia="Times New Roman" w:hAnsi="Arial" w:cs="Arial"/>
          <w:color w:val="222222"/>
          <w:kern w:val="0"/>
          <w:lang w:eastAsia="en-GB"/>
          <w14:ligatures w14:val="none"/>
        </w:rPr>
        <w:t xml:space="preserve"> protective security has become a statutory consideration rather than simply good practice.</w:t>
      </w:r>
    </w:p>
    <w:p w14:paraId="2FE3436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C9C85C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This guide explains the legislation in plain English, outlines who it affects and provides practical steps to help organisations begin preparing.</w:t>
      </w:r>
    </w:p>
    <w:p w14:paraId="5BC4FD3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F32B2E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It is intended as an introductory guide and should not be relied upon as legal advice or a substitute for a site-specific security assessment.</w:t>
      </w:r>
    </w:p>
    <w:p w14:paraId="451B0D78" w14:textId="011FE32D" w:rsidR="00411445" w:rsidRDefault="00411445" w:rsidP="00411445">
      <w:pPr>
        <w:spacing w:after="0" w:line="240" w:lineRule="auto"/>
        <w:rPr>
          <w:rFonts w:ascii="Arial" w:eastAsia="Times New Roman" w:hAnsi="Arial" w:cs="Arial"/>
          <w:color w:val="222222"/>
          <w:kern w:val="0"/>
          <w:lang w:eastAsia="en-GB"/>
          <w14:ligatures w14:val="none"/>
        </w:rPr>
      </w:pPr>
    </w:p>
    <w:p w14:paraId="1BA8A119"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37CF212A"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218CECC5"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351E08C3"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0F4D25C2"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417609AE"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01C9C1D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9E07CD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421886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lastRenderedPageBreak/>
        <w:t>Contents</w:t>
      </w:r>
    </w:p>
    <w:p w14:paraId="457A20B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9461C1D"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What is Martyn’s Law?</w:t>
      </w:r>
    </w:p>
    <w:p w14:paraId="11B18C9C"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Why was it introduced?</w:t>
      </w:r>
    </w:p>
    <w:p w14:paraId="636BEAC0"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Who does it apply to?</w:t>
      </w:r>
    </w:p>
    <w:p w14:paraId="3E19BCCA"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Standard Duty and Enhanced Duty explained</w:t>
      </w:r>
    </w:p>
    <w:p w14:paraId="7C6C6094"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What does proportionate security mean?</w:t>
      </w:r>
    </w:p>
    <w:p w14:paraId="64C20DBE"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Practical steps you can take today</w:t>
      </w:r>
    </w:p>
    <w:p w14:paraId="03961528"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Common misconceptions</w:t>
      </w:r>
    </w:p>
    <w:p w14:paraId="2FB65EEC"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Frequently Asked Questions</w:t>
      </w:r>
    </w:p>
    <w:p w14:paraId="026450D7"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Quick Reference Checklist</w:t>
      </w:r>
    </w:p>
    <w:p w14:paraId="5D7DF80F"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Key Takeaways</w:t>
      </w:r>
    </w:p>
    <w:p w14:paraId="44A23AE2"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Further Reading</w:t>
      </w:r>
    </w:p>
    <w:p w14:paraId="1EB9BC02" w14:textId="77777777" w:rsidR="00411445" w:rsidRPr="00411445" w:rsidRDefault="00411445" w:rsidP="00411445">
      <w:pPr>
        <w:numPr>
          <w:ilvl w:val="0"/>
          <w:numId w:val="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Need Help?</w:t>
      </w:r>
    </w:p>
    <w:p w14:paraId="566E4C4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071186E" w14:textId="6D59A942"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DC32F9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405A8D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1. What is Martyn’s Law?</w:t>
      </w:r>
    </w:p>
    <w:p w14:paraId="182A489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92FD40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Terrorism (Protection of Premises) Act 2025 was introduced to improve public safety by requiring those responsible for certain publicly accessible premises and qualifying events to consider the risk of terrorism and implement proportionate protective measures.</w:t>
      </w:r>
    </w:p>
    <w:p w14:paraId="2AE4C33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522E0B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legislation is designed to improve preparedness rather than create unnecessary bureaucracy. It encourages organisations to think ahead, plan effectively and ensure people know how to respond if an incident occurs.</w:t>
      </w:r>
    </w:p>
    <w:p w14:paraId="46129E7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35750D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aim is not to eliminate every risk—it is to ensure organisations have taken reasonable and proportionate steps to protect people.</w:t>
      </w:r>
    </w:p>
    <w:p w14:paraId="57C4443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F7A7143" w14:textId="23BF46EF"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757EB6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2EEED5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Why is it called Martyn’s Law?</w:t>
      </w:r>
    </w:p>
    <w:p w14:paraId="6314066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246C1E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Act is commonly known as </w:t>
      </w:r>
      <w:r w:rsidRPr="00411445">
        <w:rPr>
          <w:rFonts w:ascii="Arial" w:eastAsia="Times New Roman" w:hAnsi="Arial" w:cs="Arial"/>
          <w:b/>
          <w:bCs/>
          <w:color w:val="222222"/>
          <w:kern w:val="0"/>
          <w:lang w:eastAsia="en-GB"/>
          <w14:ligatures w14:val="none"/>
        </w:rPr>
        <w:t>Martyn’s Law</w:t>
      </w:r>
      <w:r w:rsidRPr="00411445">
        <w:rPr>
          <w:rFonts w:ascii="Arial" w:eastAsia="Times New Roman" w:hAnsi="Arial" w:cs="Arial"/>
          <w:color w:val="222222"/>
          <w:kern w:val="0"/>
          <w:lang w:eastAsia="en-GB"/>
          <w14:ligatures w14:val="none"/>
        </w:rPr>
        <w:t> in memory of </w:t>
      </w:r>
      <w:r w:rsidRPr="00411445">
        <w:rPr>
          <w:rFonts w:ascii="Arial" w:eastAsia="Times New Roman" w:hAnsi="Arial" w:cs="Arial"/>
          <w:b/>
          <w:bCs/>
          <w:color w:val="222222"/>
          <w:kern w:val="0"/>
          <w:u w:val="single"/>
          <w:lang w:eastAsia="en-GB"/>
          <w14:ligatures w14:val="none"/>
        </w:rPr>
        <w:t>Martyn Hett</w:t>
      </w:r>
      <w:r w:rsidRPr="00411445">
        <w:rPr>
          <w:rFonts w:ascii="Arial" w:eastAsia="Times New Roman" w:hAnsi="Arial" w:cs="Arial"/>
          <w:color w:val="222222"/>
          <w:kern w:val="0"/>
          <w:lang w:eastAsia="en-GB"/>
          <w14:ligatures w14:val="none"/>
        </w:rPr>
        <w:t>, who lost his life in the 2017 Manchester Arena terrorist attack. The campaign led by his family sought to improve public protection by ensuring venues and event organisers consider security in the same way they already consider health and safety.</w:t>
      </w:r>
    </w:p>
    <w:p w14:paraId="3F88EFD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365E4CC" w14:textId="7C10FF56" w:rsidR="00411445" w:rsidRDefault="00411445" w:rsidP="00411445">
      <w:pPr>
        <w:spacing w:after="0" w:line="240" w:lineRule="auto"/>
        <w:rPr>
          <w:rFonts w:ascii="Roboto" w:eastAsia="Times New Roman" w:hAnsi="Roboto" w:cs="Roboto"/>
          <w:color w:val="222222"/>
          <w:kern w:val="0"/>
          <w:lang w:eastAsia="en-GB"/>
          <w14:ligatures w14:val="none"/>
        </w:rPr>
      </w:pPr>
    </w:p>
    <w:p w14:paraId="7E549D4E" w14:textId="77777777" w:rsidR="00411445" w:rsidRDefault="00411445" w:rsidP="00411445">
      <w:pPr>
        <w:spacing w:after="0" w:line="240" w:lineRule="auto"/>
        <w:rPr>
          <w:rFonts w:ascii="Roboto" w:eastAsia="Times New Roman" w:hAnsi="Roboto" w:cs="Roboto"/>
          <w:color w:val="222222"/>
          <w:kern w:val="0"/>
          <w:lang w:eastAsia="en-GB"/>
          <w14:ligatures w14:val="none"/>
        </w:rPr>
      </w:pPr>
    </w:p>
    <w:p w14:paraId="65197CC4" w14:textId="77777777" w:rsidR="00411445" w:rsidRDefault="00411445" w:rsidP="00411445">
      <w:pPr>
        <w:spacing w:after="0" w:line="240" w:lineRule="auto"/>
        <w:rPr>
          <w:rFonts w:ascii="Roboto" w:eastAsia="Times New Roman" w:hAnsi="Roboto" w:cs="Roboto"/>
          <w:color w:val="222222"/>
          <w:kern w:val="0"/>
          <w:lang w:eastAsia="en-GB"/>
          <w14:ligatures w14:val="none"/>
        </w:rPr>
      </w:pPr>
    </w:p>
    <w:p w14:paraId="50873D66" w14:textId="77777777" w:rsidR="00411445" w:rsidRDefault="00411445" w:rsidP="00411445">
      <w:pPr>
        <w:spacing w:after="0" w:line="240" w:lineRule="auto"/>
        <w:rPr>
          <w:rFonts w:ascii="Roboto" w:eastAsia="Times New Roman" w:hAnsi="Roboto" w:cs="Roboto"/>
          <w:color w:val="222222"/>
          <w:kern w:val="0"/>
          <w:lang w:eastAsia="en-GB"/>
          <w14:ligatures w14:val="none"/>
        </w:rPr>
      </w:pPr>
    </w:p>
    <w:p w14:paraId="3607893C" w14:textId="77777777" w:rsidR="00411445" w:rsidRDefault="00411445" w:rsidP="00411445">
      <w:pPr>
        <w:spacing w:after="0" w:line="240" w:lineRule="auto"/>
        <w:rPr>
          <w:rFonts w:ascii="Roboto" w:eastAsia="Times New Roman" w:hAnsi="Roboto" w:cs="Roboto"/>
          <w:color w:val="222222"/>
          <w:kern w:val="0"/>
          <w:lang w:eastAsia="en-GB"/>
          <w14:ligatures w14:val="none"/>
        </w:rPr>
      </w:pPr>
    </w:p>
    <w:p w14:paraId="63B4A362" w14:textId="77777777" w:rsidR="00411445" w:rsidRDefault="00411445" w:rsidP="00411445">
      <w:pPr>
        <w:spacing w:after="0" w:line="240" w:lineRule="auto"/>
        <w:rPr>
          <w:rFonts w:ascii="Roboto" w:eastAsia="Times New Roman" w:hAnsi="Roboto" w:cs="Roboto"/>
          <w:color w:val="222222"/>
          <w:kern w:val="0"/>
          <w:lang w:eastAsia="en-GB"/>
          <w14:ligatures w14:val="none"/>
        </w:rPr>
      </w:pPr>
    </w:p>
    <w:p w14:paraId="50FACE8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70729D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8DD251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lastRenderedPageBreak/>
        <w:t>2. Why was it introduced?</w:t>
      </w:r>
    </w:p>
    <w:p w14:paraId="06E5240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FA2C76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Following several terrorist attacks in the UK, reviews identified that many organisations had limited planning for hostile acts despite having robust arrangements for other emergencies such as fire.</w:t>
      </w:r>
    </w:p>
    <w:p w14:paraId="42C8851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1A7D3C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Common themes included:</w:t>
      </w:r>
    </w:p>
    <w:p w14:paraId="3E7420C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81A67EF" w14:textId="77777777" w:rsidR="00411445" w:rsidRPr="00411445" w:rsidRDefault="00411445" w:rsidP="00411445">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Limited staff awareness.</w:t>
      </w:r>
    </w:p>
    <w:p w14:paraId="7811F60A" w14:textId="77777777" w:rsidR="00411445" w:rsidRPr="00411445" w:rsidRDefault="00411445" w:rsidP="00411445">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No documented response plans.</w:t>
      </w:r>
    </w:p>
    <w:p w14:paraId="6418E301" w14:textId="77777777" w:rsidR="00411445" w:rsidRPr="00411445" w:rsidRDefault="00411445" w:rsidP="00411445">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Poor communication arrangements.</w:t>
      </w:r>
    </w:p>
    <w:p w14:paraId="29C9837E" w14:textId="77777777" w:rsidR="00411445" w:rsidRPr="00411445" w:rsidRDefault="00411445" w:rsidP="00411445">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Little consideration of hostile attack scenarios.</w:t>
      </w:r>
    </w:p>
    <w:p w14:paraId="32C6425B" w14:textId="77777777" w:rsidR="00411445" w:rsidRPr="00411445" w:rsidRDefault="00411445" w:rsidP="00411445">
      <w:pPr>
        <w:numPr>
          <w:ilvl w:val="0"/>
          <w:numId w:val="2"/>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Inconsistent security standards between organisations.</w:t>
      </w:r>
    </w:p>
    <w:p w14:paraId="7AEC5EC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8FC90D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Martyn’s Law aims to improve national preparedness by embedding protective security into everyday business planning.</w:t>
      </w:r>
    </w:p>
    <w:p w14:paraId="1B445CCE" w14:textId="1C53D354"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E7F789F"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774AC80F" w14:textId="3B4334F8" w:rsidR="00411445" w:rsidRPr="00411445" w:rsidRDefault="00411445" w:rsidP="00411445">
      <w:pPr>
        <w:spacing w:after="0" w:line="240" w:lineRule="auto"/>
        <w:rPr>
          <w:rFonts w:ascii="Arial" w:eastAsia="Times New Roman" w:hAnsi="Arial" w:cs="Arial"/>
          <w:color w:val="222222"/>
          <w:kern w:val="0"/>
          <w:lang w:eastAsia="en-GB"/>
          <w14:ligatures w14:val="none"/>
        </w:rPr>
      </w:pPr>
      <w:proofErr w:type="spellStart"/>
      <w:r w:rsidRPr="00411445">
        <w:rPr>
          <w:rFonts w:ascii="Arial" w:eastAsia="Times New Roman" w:hAnsi="Arial" w:cs="Arial"/>
          <w:b/>
          <w:bCs/>
          <w:color w:val="222222"/>
          <w:kern w:val="0"/>
          <w:lang w:eastAsia="en-GB"/>
          <w14:ligatures w14:val="none"/>
        </w:rPr>
        <w:t>Meraxes</w:t>
      </w:r>
      <w:proofErr w:type="spellEnd"/>
      <w:r w:rsidRPr="00411445">
        <w:rPr>
          <w:rFonts w:ascii="Arial" w:eastAsia="Times New Roman" w:hAnsi="Arial" w:cs="Arial"/>
          <w:b/>
          <w:bCs/>
          <w:color w:val="222222"/>
          <w:kern w:val="0"/>
          <w:lang w:eastAsia="en-GB"/>
          <w14:ligatures w14:val="none"/>
        </w:rPr>
        <w:t xml:space="preserve"> Advice</w:t>
      </w:r>
    </w:p>
    <w:p w14:paraId="0AE9D2F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74F671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Many organisations already have measures in place that support protective security, such as emergency procedures, CCTV, access control or staff training. Preparing for Martyn’s Law often involves reviewing and strengthening existing arrangements rather than starting from scratch.</w:t>
      </w:r>
    </w:p>
    <w:p w14:paraId="4C33700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C5E2BC9" w14:textId="56DF110F"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3C2BD6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0E8C3C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3. Who Does the Law Apply To?</w:t>
      </w:r>
    </w:p>
    <w:p w14:paraId="4CAC6FE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E4DE85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legislation applies to certain publicly accessible premises and qualifying events that meet the criteria set out in the Act.</w:t>
      </w:r>
    </w:p>
    <w:p w14:paraId="5DD7B31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6FD5C0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Examples may include:</w:t>
      </w:r>
    </w:p>
    <w:p w14:paraId="30BF817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DD733D6"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Pubs and bars.</w:t>
      </w:r>
    </w:p>
    <w:p w14:paraId="03EC5EA7"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Restaurants and cafés.</w:t>
      </w:r>
    </w:p>
    <w:p w14:paraId="1DF7F234"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Hotels.</w:t>
      </w:r>
    </w:p>
    <w:p w14:paraId="4C137DF2"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Sports clubs and stadiums.</w:t>
      </w:r>
    </w:p>
    <w:p w14:paraId="22D38A94"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Entertainment venues.</w:t>
      </w:r>
    </w:p>
    <w:p w14:paraId="28780531"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Places of worship.</w:t>
      </w:r>
    </w:p>
    <w:p w14:paraId="1F6BEFD6"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Visitor attractions.</w:t>
      </w:r>
    </w:p>
    <w:p w14:paraId="0ADC9FB7"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Conference centres.</w:t>
      </w:r>
    </w:p>
    <w:p w14:paraId="4CE7E115"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Educational premises.</w:t>
      </w:r>
    </w:p>
    <w:p w14:paraId="76B2C5E8" w14:textId="77777777" w:rsidR="00411445" w:rsidRPr="00411445" w:rsidRDefault="00411445" w:rsidP="00411445">
      <w:pPr>
        <w:numPr>
          <w:ilvl w:val="0"/>
          <w:numId w:val="3"/>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Healthcare facilities.</w:t>
      </w:r>
    </w:p>
    <w:p w14:paraId="435F48F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97F3D5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lastRenderedPageBreak/>
        <w:t>Whether your organisation falls within the scope of the legislation depends on factors such as capacity, use and the nature of the premises or event.</w:t>
      </w:r>
    </w:p>
    <w:p w14:paraId="6160237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7217E5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AF7836E" w14:textId="44065382"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Legal Requirement</w:t>
      </w:r>
    </w:p>
    <w:p w14:paraId="2479C79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EE9A66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If your premises or event falls within the scope of the Act, you must understand which legal duties apply and implement measures that are proportionate to your circumstances.</w:t>
      </w:r>
    </w:p>
    <w:p w14:paraId="14A23F2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F5E4ED5" w14:textId="41BE7758"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002FE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DF0D64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4. Standard Duty and Enhanced Duty</w:t>
      </w:r>
    </w:p>
    <w:p w14:paraId="3B59AB8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A15267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Act introduces two levels of responsibility:</w:t>
      </w:r>
    </w:p>
    <w:p w14:paraId="187087D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017B47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Standard Duty</w:t>
      </w:r>
    </w:p>
    <w:p w14:paraId="187435D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D43554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Designed for smaller qualifying premises.</w:t>
      </w:r>
    </w:p>
    <w:p w14:paraId="5B2C21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7148DE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focus is on practical preparedness, ensuring people understand what to do and how to respond.</w:t>
      </w:r>
    </w:p>
    <w:p w14:paraId="7A94257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06E249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Typical expectations include:</w:t>
      </w:r>
    </w:p>
    <w:p w14:paraId="3C7D9C8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9EAB651" w14:textId="77777777" w:rsidR="00411445" w:rsidRPr="00411445" w:rsidRDefault="00411445" w:rsidP="00411445">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Appropriate emergency procedures.</w:t>
      </w:r>
    </w:p>
    <w:p w14:paraId="7C612201" w14:textId="77777777" w:rsidR="00411445" w:rsidRPr="00411445" w:rsidRDefault="00411445" w:rsidP="00411445">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Staff awareness.</w:t>
      </w:r>
    </w:p>
    <w:p w14:paraId="356285BD" w14:textId="77777777" w:rsidR="00411445" w:rsidRPr="00411445" w:rsidRDefault="00411445" w:rsidP="00411445">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Basic preparedness.</w:t>
      </w:r>
    </w:p>
    <w:p w14:paraId="1FB1636D" w14:textId="77777777" w:rsidR="00411445" w:rsidRPr="00411445" w:rsidRDefault="00411445" w:rsidP="00411445">
      <w:pPr>
        <w:numPr>
          <w:ilvl w:val="0"/>
          <w:numId w:val="4"/>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Regular review.</w:t>
      </w:r>
    </w:p>
    <w:p w14:paraId="7C9FA46B" w14:textId="42F551FF"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373A89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7185FB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Enhanced Duty</w:t>
      </w:r>
    </w:p>
    <w:p w14:paraId="5D1D7AD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EFDCE1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Applies to larger premises and qualifying events where attendance and risk may be greater.</w:t>
      </w:r>
    </w:p>
    <w:p w14:paraId="79D80F3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0CD6A8D" w14:textId="77777777" w:rsid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In addition to the Standard Duty requirements, organisations may need more formal planning, documented assessments and governance arrangements.</w:t>
      </w:r>
    </w:p>
    <w:p w14:paraId="2E0E3329"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7134D5A2"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4F80EB97"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2AC1691F"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39C94C19"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1360DC68"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04EB33CF"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0382BA5B"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65337B0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37DA9D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6EA933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lastRenderedPageBreak/>
        <w:t>5. What Does “Proportionate Security” Mean?</w:t>
      </w:r>
    </w:p>
    <w:p w14:paraId="001EC8E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80EF00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One of the key principles of the Terrorism (Protection of Premises) Act 2025 is </w:t>
      </w:r>
      <w:r w:rsidRPr="00411445">
        <w:rPr>
          <w:rFonts w:ascii="Arial" w:eastAsia="Times New Roman" w:hAnsi="Arial" w:cs="Arial"/>
          <w:b/>
          <w:bCs/>
          <w:color w:val="222222"/>
          <w:kern w:val="0"/>
          <w:lang w:eastAsia="en-GB"/>
          <w14:ligatures w14:val="none"/>
        </w:rPr>
        <w:t>proportionality</w:t>
      </w:r>
      <w:r w:rsidRPr="00411445">
        <w:rPr>
          <w:rFonts w:ascii="Arial" w:eastAsia="Times New Roman" w:hAnsi="Arial" w:cs="Arial"/>
          <w:color w:val="222222"/>
          <w:kern w:val="0"/>
          <w:lang w:eastAsia="en-GB"/>
          <w14:ligatures w14:val="none"/>
        </w:rPr>
        <w:t>.</w:t>
      </w:r>
    </w:p>
    <w:p w14:paraId="301C3FA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6C1ACA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law does </w:t>
      </w:r>
      <w:r w:rsidRPr="00411445">
        <w:rPr>
          <w:rFonts w:ascii="Arial" w:eastAsia="Times New Roman" w:hAnsi="Arial" w:cs="Arial"/>
          <w:b/>
          <w:bCs/>
          <w:color w:val="222222"/>
          <w:kern w:val="0"/>
          <w:lang w:eastAsia="en-GB"/>
          <w14:ligatures w14:val="none"/>
        </w:rPr>
        <w:t>not</w:t>
      </w:r>
      <w:r w:rsidRPr="00411445">
        <w:rPr>
          <w:rFonts w:ascii="Arial" w:eastAsia="Times New Roman" w:hAnsi="Arial" w:cs="Arial"/>
          <w:color w:val="222222"/>
          <w:kern w:val="0"/>
          <w:lang w:eastAsia="en-GB"/>
          <w14:ligatures w14:val="none"/>
        </w:rPr>
        <w:t> expect every organisation to implement the same security measures. Instead, those responsible for qualifying premises or events should consider the nature of their venue, the activities taking place and the potential impact of a terrorist incident before deciding what is reasonable.</w:t>
      </w:r>
    </w:p>
    <w:p w14:paraId="0F08454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B557AE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 village hall, for example, will not be expected to adopt the same measures as a major sports stadium. Likewise, a small restaurant has very different risks and resources compared with a large shopping centre.</w:t>
      </w:r>
    </w:p>
    <w:p w14:paraId="29588A7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4C3F66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objective is to demonstrate that you have considered the risks and implemented measures that are appropriate to your circumstances.</w:t>
      </w:r>
    </w:p>
    <w:p w14:paraId="2CD1AA9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28A010E" w14:textId="03045F18"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357314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30A5D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What does “proportionate” look like?</w:t>
      </w:r>
    </w:p>
    <w:p w14:paraId="7FB830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8301A9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Although every organisation is different, proportionate security generally means:</w:t>
      </w:r>
    </w:p>
    <w:p w14:paraId="4878E01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03A5010" w14:textId="77777777" w:rsidR="00411445" w:rsidRPr="00411445" w:rsidRDefault="00411445" w:rsidP="00411445">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Understanding how your premises are used.</w:t>
      </w:r>
    </w:p>
    <w:p w14:paraId="381E5100" w14:textId="77777777" w:rsidR="00411445" w:rsidRPr="00411445" w:rsidRDefault="00411445" w:rsidP="00411445">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Identifying reasonably foreseeable threats.</w:t>
      </w:r>
    </w:p>
    <w:p w14:paraId="7E164902" w14:textId="77777777" w:rsidR="00411445" w:rsidRPr="00411445" w:rsidRDefault="00411445" w:rsidP="00411445">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Having practical emergency procedures.</w:t>
      </w:r>
    </w:p>
    <w:p w14:paraId="37FBD407" w14:textId="77777777" w:rsidR="00411445" w:rsidRPr="00411445" w:rsidRDefault="00411445" w:rsidP="00411445">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Ensuring staff know what to do during an incident.</w:t>
      </w:r>
    </w:p>
    <w:p w14:paraId="5301E596" w14:textId="77777777" w:rsidR="00411445" w:rsidRPr="00411445" w:rsidRDefault="00411445" w:rsidP="00411445">
      <w:pPr>
        <w:numPr>
          <w:ilvl w:val="0"/>
          <w:numId w:val="5"/>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Reviewing arrangements periodically and after significant changes.</w:t>
      </w:r>
    </w:p>
    <w:p w14:paraId="0AD18B8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3E374D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It is not about creating unnecessary paperwork or introducing intrusive security measures that are inappropriate for your environment.</w:t>
      </w:r>
    </w:p>
    <w:p w14:paraId="2F3C3F17" w14:textId="59C0C620"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54D2FB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D2C81E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Example</w:t>
      </w:r>
    </w:p>
    <w:p w14:paraId="5F816A5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2DA690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 busy café with seating for 180 customers may already have:</w:t>
      </w:r>
    </w:p>
    <w:p w14:paraId="0FFAD81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54132A5" w14:textId="77777777" w:rsidR="00411445" w:rsidRPr="00411445" w:rsidRDefault="00411445" w:rsidP="00411445">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Fire evacuation procedures.</w:t>
      </w:r>
    </w:p>
    <w:p w14:paraId="51409C36" w14:textId="77777777" w:rsidR="00411445" w:rsidRPr="00411445" w:rsidRDefault="00411445" w:rsidP="00411445">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CCTV covering entrances.</w:t>
      </w:r>
    </w:p>
    <w:p w14:paraId="36B5AD44" w14:textId="77777777" w:rsidR="00411445" w:rsidRPr="00411445" w:rsidRDefault="00411445" w:rsidP="00411445">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Staff trained to respond to emergencies.</w:t>
      </w:r>
    </w:p>
    <w:p w14:paraId="72C4E7E3" w14:textId="77777777" w:rsidR="00411445" w:rsidRPr="00411445" w:rsidRDefault="00411445" w:rsidP="00411445">
      <w:pPr>
        <w:numPr>
          <w:ilvl w:val="0"/>
          <w:numId w:val="6"/>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 public address system.</w:t>
      </w:r>
    </w:p>
    <w:p w14:paraId="0700D5A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611D1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Rather than replacing these arrangements, Martyn’s Law may require the business to consider how they could also be used during a terrorist incident and whether additional planning or staff awareness training is needed.</w:t>
      </w:r>
    </w:p>
    <w:p w14:paraId="49EFCB94" w14:textId="537DB27C"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7D8B9C7" w14:textId="4B66E75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lastRenderedPageBreak/>
        <w:t>Good Practice</w:t>
      </w:r>
    </w:p>
    <w:p w14:paraId="105BEA5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13A371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Protective security should be integrated into existing business processes wherever possible. Aligning it with health and safety, business continuity and emergency planning often makes implementation simpler and more sustainable.</w:t>
      </w:r>
    </w:p>
    <w:p w14:paraId="21614B1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C8BBA35" w14:textId="45C5C54E"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77343D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BFE7EF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6. Five Practical Steps You Can Take Today</w:t>
      </w:r>
    </w:p>
    <w:p w14:paraId="1D59F79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F7B38B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Preparing for Martyn’s Law does not need to be overwhelming. The following actions can help organisations begin building resilience.</w:t>
      </w:r>
    </w:p>
    <w:p w14:paraId="553C73F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B38B0C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Step 1 – Identify whether the legislation applies</w:t>
      </w:r>
    </w:p>
    <w:p w14:paraId="18E1AB8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47E954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Determine whether your premises or qualifying events are likely to fall within the scope of the Act and understand which level of duty may apply.</w:t>
      </w:r>
    </w:p>
    <w:p w14:paraId="27320EA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668DD2E" w14:textId="4F2F0CDD"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FFA169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84243E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Step 2 – Nominate a responsible person</w:t>
      </w:r>
    </w:p>
    <w:p w14:paraId="2133B79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817821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Identify who will oversee protective security arrangements within your organisation. This person does not need to be a security specialist but should have sufficient authority to coordinate planning and improvements.</w:t>
      </w:r>
    </w:p>
    <w:p w14:paraId="18E74CF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C8106BB" w14:textId="5B0D57B8"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CEC340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C96148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Step 3 – Review your existing emergency procedures</w:t>
      </w:r>
    </w:p>
    <w:p w14:paraId="749DE98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91527F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Consider whether your current procedures address hostile incidents as well as more familiar emergencies such as fire or medical incidents.</w:t>
      </w:r>
    </w:p>
    <w:p w14:paraId="6BAA86C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801FAB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Ask yourself:</w:t>
      </w:r>
    </w:p>
    <w:p w14:paraId="4EFBA6E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73DD743" w14:textId="77777777" w:rsidR="00411445" w:rsidRPr="00411445" w:rsidRDefault="00411445" w:rsidP="00411445">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How would staff communicate during an emergency?</w:t>
      </w:r>
    </w:p>
    <w:p w14:paraId="0A77F0CC" w14:textId="77777777" w:rsidR="00411445" w:rsidRPr="00411445" w:rsidRDefault="00411445" w:rsidP="00411445">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Who would contact the emergency services?</w:t>
      </w:r>
    </w:p>
    <w:p w14:paraId="365D7237" w14:textId="77777777" w:rsidR="00411445" w:rsidRPr="00411445" w:rsidRDefault="00411445" w:rsidP="00411445">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How would visitors be informed?</w:t>
      </w:r>
    </w:p>
    <w:p w14:paraId="39F372FC" w14:textId="77777777" w:rsidR="00411445" w:rsidRPr="00411445" w:rsidRDefault="00411445" w:rsidP="00411445">
      <w:pPr>
        <w:numPr>
          <w:ilvl w:val="0"/>
          <w:numId w:val="7"/>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Are there safe evacuation or invacuation options?</w:t>
      </w:r>
    </w:p>
    <w:p w14:paraId="48159E68" w14:textId="29EB1B1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06ACC8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C36361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Step 4 – Raise staff awareness</w:t>
      </w:r>
    </w:p>
    <w:p w14:paraId="66C59CF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622C2A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Staff are often the first people to identify suspicious behaviour or respond during an incident.</w:t>
      </w:r>
    </w:p>
    <w:p w14:paraId="3E931F0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37931C8" w14:textId="25373E89"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Simple awareness training can improve confidence, support decision-making and help ensure a coordinated response.</w:t>
      </w:r>
    </w:p>
    <w:p w14:paraId="1B779ED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lastRenderedPageBreak/>
        <w:t>Step 5 – Record your decisions</w:t>
      </w:r>
    </w:p>
    <w:p w14:paraId="5714BDF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1C8D19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Maintain a record of:</w:t>
      </w:r>
    </w:p>
    <w:p w14:paraId="201CBF4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9E20C10" w14:textId="77777777" w:rsidR="00411445" w:rsidRPr="00411445" w:rsidRDefault="00411445" w:rsidP="00411445">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Procedures developed.</w:t>
      </w:r>
    </w:p>
    <w:p w14:paraId="3FF5876C" w14:textId="77777777" w:rsidR="00411445" w:rsidRPr="00411445" w:rsidRDefault="00411445" w:rsidP="00411445">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Training delivered.</w:t>
      </w:r>
    </w:p>
    <w:p w14:paraId="49590A42" w14:textId="77777777" w:rsidR="00411445" w:rsidRPr="00411445" w:rsidRDefault="00411445" w:rsidP="00411445">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Reviews completed.</w:t>
      </w:r>
    </w:p>
    <w:p w14:paraId="77EB5F83" w14:textId="77777777" w:rsidR="00411445" w:rsidRPr="00411445" w:rsidRDefault="00411445" w:rsidP="00411445">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Improvements identified.</w:t>
      </w:r>
    </w:p>
    <w:p w14:paraId="1BBC271E" w14:textId="77777777" w:rsidR="00411445" w:rsidRPr="00411445" w:rsidRDefault="00411445" w:rsidP="00411445">
      <w:pPr>
        <w:numPr>
          <w:ilvl w:val="0"/>
          <w:numId w:val="8"/>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Actions taken.</w:t>
      </w:r>
    </w:p>
    <w:p w14:paraId="1C356D6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8B321D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Documenting your approach demonstrates that protective security has been actively considered rather than overlooked.</w:t>
      </w:r>
    </w:p>
    <w:p w14:paraId="1B2741D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C1619DE" w14:textId="5366E236"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2CA967E"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0811D4DD" w14:textId="243F130D" w:rsidR="00411445" w:rsidRPr="00411445" w:rsidRDefault="00411445" w:rsidP="00411445">
      <w:pPr>
        <w:spacing w:after="0" w:line="240" w:lineRule="auto"/>
        <w:rPr>
          <w:rFonts w:ascii="Arial" w:eastAsia="Times New Roman" w:hAnsi="Arial" w:cs="Arial"/>
          <w:color w:val="222222"/>
          <w:kern w:val="0"/>
          <w:lang w:eastAsia="en-GB"/>
          <w14:ligatures w14:val="none"/>
        </w:rPr>
      </w:pPr>
      <w:proofErr w:type="spellStart"/>
      <w:r w:rsidRPr="00411445">
        <w:rPr>
          <w:rFonts w:ascii="Arial" w:eastAsia="Times New Roman" w:hAnsi="Arial" w:cs="Arial"/>
          <w:b/>
          <w:bCs/>
          <w:color w:val="222222"/>
          <w:kern w:val="0"/>
          <w:lang w:eastAsia="en-GB"/>
          <w14:ligatures w14:val="none"/>
        </w:rPr>
        <w:t>Meraxes</w:t>
      </w:r>
      <w:proofErr w:type="spellEnd"/>
      <w:r w:rsidRPr="00411445">
        <w:rPr>
          <w:rFonts w:ascii="Arial" w:eastAsia="Times New Roman" w:hAnsi="Arial" w:cs="Arial"/>
          <w:b/>
          <w:bCs/>
          <w:color w:val="222222"/>
          <w:kern w:val="0"/>
          <w:lang w:eastAsia="en-GB"/>
          <w14:ligatures w14:val="none"/>
        </w:rPr>
        <w:t xml:space="preserve"> Advice</w:t>
      </w:r>
    </w:p>
    <w:p w14:paraId="2F1FC7A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13C03D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strongest organisations are not necessarily those with the most security measures—they are those with the most </w:t>
      </w:r>
      <w:r w:rsidRPr="00411445">
        <w:rPr>
          <w:rFonts w:ascii="Arial" w:eastAsia="Times New Roman" w:hAnsi="Arial" w:cs="Arial"/>
          <w:b/>
          <w:bCs/>
          <w:color w:val="222222"/>
          <w:kern w:val="0"/>
          <w:lang w:eastAsia="en-GB"/>
          <w14:ligatures w14:val="none"/>
        </w:rPr>
        <w:t>appropriate</w:t>
      </w:r>
      <w:r w:rsidRPr="00411445">
        <w:rPr>
          <w:rFonts w:ascii="Arial" w:eastAsia="Times New Roman" w:hAnsi="Arial" w:cs="Arial"/>
          <w:color w:val="222222"/>
          <w:kern w:val="0"/>
          <w:lang w:eastAsia="en-GB"/>
          <w14:ligatures w14:val="none"/>
        </w:rPr>
        <w:t> measures. A proportionate, well-documented approach is usually more effective than adopting controls that are unnecessary or difficult to maintain.</w:t>
      </w:r>
    </w:p>
    <w:p w14:paraId="266B968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87ADA5E" w14:textId="50FC1F29"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C17FE6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F87560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Did You Know?</w:t>
      </w:r>
    </w:p>
    <w:p w14:paraId="35FB8B8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E249D2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Many organisations already review health and safety, fire safety and business continuity on a regular basis. Including protective security within those existing review cycles can reduce duplication and help embed security into everyday management rather than treating it as a separate exercise.</w:t>
      </w:r>
    </w:p>
    <w:p w14:paraId="2DAE86B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B73CDC4"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7. Common Misconceptions</w:t>
      </w:r>
    </w:p>
    <w:p w14:paraId="44A98828" w14:textId="4FC4899E"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 xml:space="preserve">As organisations begin preparing for Martyn’s Law, </w:t>
      </w:r>
      <w:proofErr w:type="gramStart"/>
      <w:r w:rsidRPr="00411445">
        <w:rPr>
          <w:rFonts w:ascii="Arial" w:eastAsia="Times New Roman" w:hAnsi="Arial" w:cs="Arial"/>
          <w:color w:val="222222"/>
          <w:kern w:val="0"/>
          <w:lang w:eastAsia="en-GB"/>
          <w14:ligatures w14:val="none"/>
        </w:rPr>
        <w:t>a number of</w:t>
      </w:r>
      <w:proofErr w:type="gramEnd"/>
      <w:r w:rsidRPr="00411445">
        <w:rPr>
          <w:rFonts w:ascii="Arial" w:eastAsia="Times New Roman" w:hAnsi="Arial" w:cs="Arial"/>
          <w:color w:val="222222"/>
          <w:kern w:val="0"/>
          <w:lang w:eastAsia="en-GB"/>
          <w14:ligatures w14:val="none"/>
        </w:rPr>
        <w:t xml:space="preserve"> misconceptions frequently arise. Understanding what the legislation does</w:t>
      </w:r>
      <w:r>
        <w:rPr>
          <w:rFonts w:ascii="Arial" w:eastAsia="Times New Roman" w:hAnsi="Arial" w:cs="Arial"/>
          <w:color w:val="222222"/>
          <w:kern w:val="0"/>
          <w:lang w:eastAsia="en-GB"/>
          <w14:ligatures w14:val="none"/>
        </w:rPr>
        <w:t xml:space="preserve"> </w:t>
      </w:r>
      <w:r w:rsidRPr="00411445">
        <w:rPr>
          <w:rFonts w:ascii="Arial" w:eastAsia="Times New Roman" w:hAnsi="Arial" w:cs="Arial"/>
          <w:color w:val="222222"/>
          <w:kern w:val="0"/>
          <w:lang w:eastAsia="en-GB"/>
          <w14:ligatures w14:val="none"/>
        </w:rPr>
        <w:t>and does not</w:t>
      </w:r>
      <w:r>
        <w:rPr>
          <w:rFonts w:ascii="Arial" w:eastAsia="Times New Roman" w:hAnsi="Arial" w:cs="Arial"/>
          <w:color w:val="222222"/>
          <w:kern w:val="0"/>
          <w:lang w:eastAsia="en-GB"/>
          <w14:ligatures w14:val="none"/>
        </w:rPr>
        <w:t xml:space="preserve"> </w:t>
      </w:r>
      <w:r w:rsidRPr="00411445">
        <w:rPr>
          <w:rFonts w:ascii="Arial" w:eastAsia="Times New Roman" w:hAnsi="Arial" w:cs="Arial"/>
          <w:color w:val="222222"/>
          <w:kern w:val="0"/>
          <w:lang w:eastAsia="en-GB"/>
          <w14:ligatures w14:val="none"/>
        </w:rPr>
        <w:t>require can help avoid unnecessary concern.</w:t>
      </w:r>
    </w:p>
    <w:p w14:paraId="36D949F6"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Misconception 1</w:t>
      </w:r>
    </w:p>
    <w:p w14:paraId="48F73DA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“This only applies to large venues.”</w:t>
      </w:r>
    </w:p>
    <w:p w14:paraId="50042C78"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Not necessarily. The legislation applies to qualifying publicly accessible premises and events that meet the relevant thresholds. Many organisations are surprised to discover they may have responsibilities under the Act.</w:t>
      </w:r>
    </w:p>
    <w:p w14:paraId="4B2ACF6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463C47D" w14:textId="41E05561"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275C4F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B12954B"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lastRenderedPageBreak/>
        <w:t>Misconception 2</w:t>
      </w:r>
    </w:p>
    <w:p w14:paraId="52F63C5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“We need airport-style security.”</w:t>
      </w:r>
    </w:p>
    <w:p w14:paraId="4B764E4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No.</w:t>
      </w:r>
    </w:p>
    <w:p w14:paraId="14A667E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legislation promotes </w:t>
      </w:r>
      <w:r w:rsidRPr="00411445">
        <w:rPr>
          <w:rFonts w:ascii="Arial" w:eastAsia="Times New Roman" w:hAnsi="Arial" w:cs="Arial"/>
          <w:b/>
          <w:bCs/>
          <w:color w:val="222222"/>
          <w:kern w:val="0"/>
          <w:lang w:eastAsia="en-GB"/>
          <w14:ligatures w14:val="none"/>
        </w:rPr>
        <w:t>proportionate</w:t>
      </w:r>
      <w:r w:rsidRPr="00411445">
        <w:rPr>
          <w:rFonts w:ascii="Arial" w:eastAsia="Times New Roman" w:hAnsi="Arial" w:cs="Arial"/>
          <w:color w:val="222222"/>
          <w:kern w:val="0"/>
          <w:lang w:eastAsia="en-GB"/>
          <w14:ligatures w14:val="none"/>
        </w:rPr>
        <w:t> protective security. The measures expected of a village hall, café or local sports club will differ significantly from those expected at a large arena or stadium.</w:t>
      </w:r>
    </w:p>
    <w:p w14:paraId="0378E6B2" w14:textId="5638420E"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036EF0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67D2B32"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Misconception 3</w:t>
      </w:r>
    </w:p>
    <w:p w14:paraId="6AEF11D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“This is purely a security issue.”</w:t>
      </w:r>
    </w:p>
    <w:p w14:paraId="708BC4BC"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Protective security is an organisational responsibility.</w:t>
      </w:r>
    </w:p>
    <w:p w14:paraId="3D074E8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Managers, trustees, volunteers, facilities teams and frontline staff all have a role in ensuring people know what to do during an emergency.</w:t>
      </w:r>
    </w:p>
    <w:p w14:paraId="505D6B7C" w14:textId="474AE86E"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AF1575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7AFFED8"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Misconception 4</w:t>
      </w:r>
    </w:p>
    <w:p w14:paraId="05D0695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“We already have CCTV, so we’re compliant.”</w:t>
      </w:r>
    </w:p>
    <w:p w14:paraId="27659296"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Technology alone is unlikely to be sufficient.</w:t>
      </w:r>
    </w:p>
    <w:p w14:paraId="7EB53A8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Effective preparedness combines people, procedures and physical measures working together.</w:t>
      </w:r>
    </w:p>
    <w:p w14:paraId="5BD1A6E0" w14:textId="1FC39988"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4FBBA5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82862B7"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Misconception 5</w:t>
      </w:r>
    </w:p>
    <w:p w14:paraId="605FC86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“We’ll deal with it when someone tells us to.”</w:t>
      </w:r>
    </w:p>
    <w:p w14:paraId="559884B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Preparing early allows organisations to plan improvements in a measured and cost-effective way rather than reacting under pressure.</w:t>
      </w:r>
    </w:p>
    <w:p w14:paraId="112979C4" w14:textId="61313810"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p>
    <w:p w14:paraId="7F311EFB"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Common Mistake</w:t>
      </w:r>
    </w:p>
    <w:p w14:paraId="1A7E7EA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Treating Martyn’s Law as a one-off exercise.</w:t>
      </w:r>
    </w:p>
    <w:p w14:paraId="01CE26C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Protective security should become part of normal governance, with arrangements reviewed whenever premises, operations or risks change.</w:t>
      </w:r>
    </w:p>
    <w:p w14:paraId="5CB2BD7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01C67C3" w14:textId="38409D0C"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CC57E47"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30828DE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F8A4CD8" w14:textId="61A9897C"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lastRenderedPageBreak/>
        <w:t>8. Frequently Asked Questions</w:t>
      </w:r>
    </w:p>
    <w:p w14:paraId="27B2FF9E"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Do I need a dedicated security manager?</w:t>
      </w:r>
    </w:p>
    <w:p w14:paraId="190521B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No.</w:t>
      </w:r>
    </w:p>
    <w:p w14:paraId="74EA869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Most organisations will simply identify a responsible person to coordinate protective security arrangements alongside their existing responsibilities.</w:t>
      </w:r>
    </w:p>
    <w:p w14:paraId="6439983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091FFC1" w14:textId="1B89B035"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C0D4D4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55B7A09"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Will implementation be expensive?</w:t>
      </w:r>
    </w:p>
    <w:p w14:paraId="116576C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Not necessarily.</w:t>
      </w:r>
    </w:p>
    <w:p w14:paraId="7C8B4D8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Many improvements involve reviewing procedures, increasing staff awareness and making better use of measures already in place.</w:t>
      </w:r>
    </w:p>
    <w:p w14:paraId="072ABAB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D4ADE6C" w14:textId="0C398EF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C438F1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6D4D4CD"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How often should arrangements be reviewed?</w:t>
      </w:r>
    </w:p>
    <w:p w14:paraId="7DF46A7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There is no single timetable that suits every organisation.</w:t>
      </w:r>
    </w:p>
    <w:p w14:paraId="24A5B864"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Reviews should take place periodically and whenever there are significant changes to the premises, its use or identified risks.</w:t>
      </w:r>
    </w:p>
    <w:p w14:paraId="7BF24469" w14:textId="172E4591"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837790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32B4914"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Do volunteers need to understand emergency procedures?</w:t>
      </w:r>
    </w:p>
    <w:p w14:paraId="4E9F52F1"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Yes.</w:t>
      </w:r>
    </w:p>
    <w:p w14:paraId="513DB6C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Anyone expected to assist during an emergency should understand the procedures relevant to their role.</w:t>
      </w:r>
    </w:p>
    <w:p w14:paraId="49A57BEA" w14:textId="652F891D"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C8FA5C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5DD6F6F1"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Where can I obtain further guidance?</w:t>
      </w:r>
    </w:p>
    <w:p w14:paraId="1ACC51F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Official guidance is available from the UK Government and the National Protective Security Authority (NPSA). Professional advice may also assist organisations in applying the legislation to their own circumstances.</w:t>
      </w:r>
    </w:p>
    <w:p w14:paraId="2B7074F3"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1443656C" w14:textId="6BAC1BA3"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8969D3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51A8E5D"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lastRenderedPageBreak/>
        <w:t>9. One-Minute Readiness Checklist</w:t>
      </w:r>
    </w:p>
    <w:p w14:paraId="26D46CF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Use the checklist below as a starting point.</w:t>
      </w:r>
    </w:p>
    <w:p w14:paraId="3E64F7C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282620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If you answered “No” to any of these questions, there may be opportunities to strengthen your preparedness.</w:t>
      </w:r>
    </w:p>
    <w:p w14:paraId="1EF7DDD2"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6058002" w14:textId="44AD30F4"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3C0C817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6CFFA5D"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10. Key Takeaways</w:t>
      </w:r>
    </w:p>
    <w:p w14:paraId="33C4A1D8" w14:textId="77777777" w:rsidR="00411445" w:rsidRPr="00411445" w:rsidRDefault="00411445" w:rsidP="00411445">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Martyn’s Law introduces legal responsibilities for qualifying premises and events.</w:t>
      </w:r>
    </w:p>
    <w:p w14:paraId="1981B011" w14:textId="77777777" w:rsidR="00411445" w:rsidRPr="00411445" w:rsidRDefault="00411445" w:rsidP="00411445">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The legislation is based on </w:t>
      </w:r>
      <w:r w:rsidRPr="00411445">
        <w:rPr>
          <w:rFonts w:ascii="Arial" w:eastAsia="Times New Roman" w:hAnsi="Arial" w:cs="Arial"/>
          <w:b/>
          <w:bCs/>
          <w:color w:val="222222"/>
          <w:kern w:val="0"/>
          <w:lang w:eastAsia="en-GB"/>
          <w14:ligatures w14:val="none"/>
        </w:rPr>
        <w:t>proportionate</w:t>
      </w:r>
      <w:r w:rsidRPr="00411445">
        <w:rPr>
          <w:rFonts w:ascii="Arial" w:eastAsia="Times New Roman" w:hAnsi="Arial" w:cs="Arial"/>
          <w:color w:val="222222"/>
          <w:kern w:val="0"/>
          <w:lang w:eastAsia="en-GB"/>
          <w14:ligatures w14:val="none"/>
        </w:rPr>
        <w:t> protective security.</w:t>
      </w:r>
    </w:p>
    <w:p w14:paraId="1F4C326D" w14:textId="77777777" w:rsidR="00411445" w:rsidRPr="00411445" w:rsidRDefault="00411445" w:rsidP="00411445">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Good preparation is about people, procedures and planning—not just physical security measures.</w:t>
      </w:r>
    </w:p>
    <w:p w14:paraId="4937468E" w14:textId="77777777" w:rsidR="00411445" w:rsidRPr="00411445" w:rsidRDefault="00411445" w:rsidP="00411445">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Many organisations already have strong foundations that can be developed further.</w:t>
      </w:r>
    </w:p>
    <w:p w14:paraId="689A8FF3" w14:textId="77777777" w:rsidR="00411445" w:rsidRPr="00411445" w:rsidRDefault="00411445" w:rsidP="00411445">
      <w:pPr>
        <w:numPr>
          <w:ilvl w:val="0"/>
          <w:numId w:val="9"/>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Early preparation is generally easier, more efficient and less disruptive than reacting at a later stage.</w:t>
      </w:r>
    </w:p>
    <w:p w14:paraId="3A5287B1" w14:textId="433BDA54"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0B2C622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0BE2545"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11. Further Reading</w:t>
      </w:r>
    </w:p>
    <w:p w14:paraId="2FC499EB" w14:textId="5C5812AA"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 xml:space="preserve">To continue building your understanding, explore the rest of the </w:t>
      </w:r>
      <w:proofErr w:type="spellStart"/>
      <w:r w:rsidRPr="00411445">
        <w:rPr>
          <w:rFonts w:ascii="Arial" w:eastAsia="Times New Roman" w:hAnsi="Arial" w:cs="Arial"/>
          <w:color w:val="222222"/>
          <w:kern w:val="0"/>
          <w:lang w:eastAsia="en-GB"/>
          <w14:ligatures w14:val="none"/>
        </w:rPr>
        <w:t>Meraxes</w:t>
      </w:r>
      <w:proofErr w:type="spellEnd"/>
      <w:r w:rsidRPr="00411445">
        <w:rPr>
          <w:rFonts w:ascii="Arial" w:eastAsia="Times New Roman" w:hAnsi="Arial" w:cs="Arial"/>
          <w:color w:val="222222"/>
          <w:kern w:val="0"/>
          <w:lang w:eastAsia="en-GB"/>
          <w14:ligatures w14:val="none"/>
        </w:rPr>
        <w:t xml:space="preserve"> Guide Series</w:t>
      </w:r>
      <w:r>
        <w:rPr>
          <w:rFonts w:ascii="Arial" w:eastAsia="Times New Roman" w:hAnsi="Arial" w:cs="Arial"/>
          <w:color w:val="222222"/>
          <w:kern w:val="0"/>
          <w:lang w:eastAsia="en-GB"/>
          <w14:ligatures w14:val="none"/>
        </w:rPr>
        <w:t>.</w:t>
      </w:r>
    </w:p>
    <w:p w14:paraId="6749067E" w14:textId="39D0F799"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78AF12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285350A6"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12. Ready to Take the Next Step?</w:t>
      </w:r>
    </w:p>
    <w:p w14:paraId="1F49A92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Understanding your responsibilities is only the beginning.</w:t>
      </w:r>
    </w:p>
    <w:p w14:paraId="67EBF804" w14:textId="77777777" w:rsid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Every organisation has different risks, different premises and different operational challenges. A proportionate approach means implementing measures that are practical, effective and appropriate for your circumstances.</w:t>
      </w:r>
    </w:p>
    <w:p w14:paraId="3A050710"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30A5B4A7"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66E271C8"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1C7BB57F"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6A180EB8"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7E449522"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11470C86" w14:textId="77777777" w:rsidR="00411445" w:rsidRDefault="00411445" w:rsidP="00411445">
      <w:pPr>
        <w:spacing w:after="0" w:line="240" w:lineRule="auto"/>
        <w:rPr>
          <w:rFonts w:ascii="Arial" w:eastAsia="Times New Roman" w:hAnsi="Arial" w:cs="Arial"/>
          <w:color w:val="222222"/>
          <w:kern w:val="0"/>
          <w:lang w:eastAsia="en-GB"/>
          <w14:ligatures w14:val="none"/>
        </w:rPr>
      </w:pPr>
    </w:p>
    <w:p w14:paraId="5024181A"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62969508"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proofErr w:type="spellStart"/>
      <w:r w:rsidRPr="00411445">
        <w:rPr>
          <w:rFonts w:ascii="Arial" w:eastAsia="Times New Roman" w:hAnsi="Arial" w:cs="Arial"/>
          <w:b/>
          <w:bCs/>
          <w:color w:val="222222"/>
          <w:kern w:val="0"/>
          <w:sz w:val="36"/>
          <w:szCs w:val="36"/>
          <w:lang w:eastAsia="en-GB"/>
          <w14:ligatures w14:val="none"/>
        </w:rPr>
        <w:lastRenderedPageBreak/>
        <w:t>Meraxes</w:t>
      </w:r>
      <w:proofErr w:type="spellEnd"/>
      <w:r w:rsidRPr="00411445">
        <w:rPr>
          <w:rFonts w:ascii="Arial" w:eastAsia="Times New Roman" w:hAnsi="Arial" w:cs="Arial"/>
          <w:b/>
          <w:bCs/>
          <w:color w:val="222222"/>
          <w:kern w:val="0"/>
          <w:sz w:val="36"/>
          <w:szCs w:val="36"/>
          <w:lang w:eastAsia="en-GB"/>
          <w14:ligatures w14:val="none"/>
        </w:rPr>
        <w:t xml:space="preserve"> Secure Ltd can help you:</w:t>
      </w:r>
    </w:p>
    <w:p w14:paraId="45E03D1B" w14:textId="77777777" w:rsidR="00411445" w:rsidRP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Determine how the legislation applies to your organisation.</w:t>
      </w:r>
    </w:p>
    <w:p w14:paraId="46950F8C" w14:textId="77777777" w:rsidR="00411445" w:rsidRP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Review your current level of preparedness.</w:t>
      </w:r>
    </w:p>
    <w:p w14:paraId="5F82466C" w14:textId="77777777" w:rsidR="00411445" w:rsidRP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Identify practical improvements.</w:t>
      </w:r>
    </w:p>
    <w:p w14:paraId="23D491E6" w14:textId="77777777" w:rsidR="00411445" w:rsidRP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Develop emergency procedures and supporting documentation.</w:t>
      </w:r>
    </w:p>
    <w:p w14:paraId="2CEDF747" w14:textId="77777777" w:rsidR="00411445" w:rsidRP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Deliver staff awareness training.</w:t>
      </w:r>
    </w:p>
    <w:p w14:paraId="403426A6" w14:textId="77777777" w:rsidR="00411445" w:rsidRDefault="00411445" w:rsidP="00411445">
      <w:pPr>
        <w:numPr>
          <w:ilvl w:val="0"/>
          <w:numId w:val="11"/>
        </w:numPr>
        <w:spacing w:before="100" w:beforeAutospacing="1" w:after="100" w:afterAutospacing="1" w:line="240" w:lineRule="auto"/>
        <w:ind w:left="945"/>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Build confidence through practical, proportionate protective security.</w:t>
      </w:r>
    </w:p>
    <w:p w14:paraId="7A828083" w14:textId="77777777" w:rsidR="00411445" w:rsidRPr="00411445" w:rsidRDefault="00411445" w:rsidP="00411445">
      <w:pPr>
        <w:spacing w:before="100" w:beforeAutospacing="1" w:after="100" w:afterAutospacing="1" w:line="240" w:lineRule="auto"/>
        <w:ind w:left="945"/>
        <w:rPr>
          <w:rFonts w:ascii="Arial" w:eastAsia="Times New Roman" w:hAnsi="Arial" w:cs="Arial"/>
          <w:color w:val="222222"/>
          <w:kern w:val="0"/>
          <w:lang w:eastAsia="en-GB"/>
          <w14:ligatures w14:val="none"/>
        </w:rPr>
      </w:pPr>
    </w:p>
    <w:p w14:paraId="2BBB8F90"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Free Protective Security Health Check</w:t>
      </w:r>
    </w:p>
    <w:p w14:paraId="6C35D065" w14:textId="65BB3612"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 xml:space="preserve">If you’re unsure where to begin, contact </w:t>
      </w:r>
      <w:proofErr w:type="spellStart"/>
      <w:r w:rsidRPr="00411445">
        <w:rPr>
          <w:rFonts w:ascii="Arial" w:eastAsia="Times New Roman" w:hAnsi="Arial" w:cs="Arial"/>
          <w:color w:val="222222"/>
          <w:kern w:val="0"/>
          <w:lang w:eastAsia="en-GB"/>
          <w14:ligatures w14:val="none"/>
        </w:rPr>
        <w:t>Meraxes</w:t>
      </w:r>
      <w:proofErr w:type="spellEnd"/>
      <w:r w:rsidRPr="00411445">
        <w:rPr>
          <w:rFonts w:ascii="Arial" w:eastAsia="Times New Roman" w:hAnsi="Arial" w:cs="Arial"/>
          <w:color w:val="222222"/>
          <w:kern w:val="0"/>
          <w:lang w:eastAsia="en-GB"/>
          <w14:ligatures w14:val="none"/>
        </w:rPr>
        <w:t xml:space="preserve"> Secure Ltd for a free initial Protective Security Health Check. We’ll help you understand your current position and identify sensible next steps—without obligation</w:t>
      </w:r>
    </w:p>
    <w:p w14:paraId="614DC948" w14:textId="77777777" w:rsid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p>
    <w:p w14:paraId="7FA60AFE" w14:textId="75232BA2"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Disclaimer</w:t>
      </w:r>
    </w:p>
    <w:p w14:paraId="2000B32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color w:val="222222"/>
          <w:kern w:val="0"/>
          <w:lang w:eastAsia="en-GB"/>
          <w14:ligatures w14:val="none"/>
        </w:rPr>
        <w:t>This publication is intended for general guidance only. While every effort has been made to ensure accuracy at the time of publication, it should not be relied upon as legal advice or a substitute for professional advice. Organisations remain responsible for ensuring compliance with all applicable legislation, statutory guidance and regulatory requirements.</w:t>
      </w:r>
    </w:p>
    <w:p w14:paraId="65A479AD" w14:textId="5A163D55"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71DCD9CE"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p>
    <w:p w14:paraId="409CAC9F" w14:textId="77777777" w:rsidR="00411445" w:rsidRPr="00411445" w:rsidRDefault="00411445" w:rsidP="00411445">
      <w:pPr>
        <w:spacing w:before="100" w:beforeAutospacing="1" w:after="100" w:afterAutospacing="1" w:line="240" w:lineRule="auto"/>
        <w:outlineLvl w:val="1"/>
        <w:rPr>
          <w:rFonts w:ascii="Arial" w:eastAsia="Times New Roman" w:hAnsi="Arial" w:cs="Arial"/>
          <w:b/>
          <w:bCs/>
          <w:color w:val="222222"/>
          <w:kern w:val="0"/>
          <w:sz w:val="36"/>
          <w:szCs w:val="36"/>
          <w:lang w:eastAsia="en-GB"/>
          <w14:ligatures w14:val="none"/>
        </w:rPr>
      </w:pPr>
      <w:r w:rsidRPr="00411445">
        <w:rPr>
          <w:rFonts w:ascii="Arial" w:eastAsia="Times New Roman" w:hAnsi="Arial" w:cs="Arial"/>
          <w:b/>
          <w:bCs/>
          <w:color w:val="222222"/>
          <w:kern w:val="0"/>
          <w:sz w:val="36"/>
          <w:szCs w:val="36"/>
          <w:lang w:eastAsia="en-GB"/>
          <w14:ligatures w14:val="none"/>
        </w:rPr>
        <w:t>Document Control</w:t>
      </w:r>
    </w:p>
    <w:p w14:paraId="5597221B"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Document Reference:</w:t>
      </w:r>
      <w:r w:rsidRPr="00411445">
        <w:rPr>
          <w:rFonts w:ascii="Arial" w:eastAsia="Times New Roman" w:hAnsi="Arial" w:cs="Arial"/>
          <w:color w:val="222222"/>
          <w:kern w:val="0"/>
          <w:lang w:eastAsia="en-GB"/>
          <w14:ligatures w14:val="none"/>
        </w:rPr>
        <w:t> MG-001</w:t>
      </w:r>
    </w:p>
    <w:p w14:paraId="2204578D"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Title:</w:t>
      </w:r>
      <w:r w:rsidRPr="00411445">
        <w:rPr>
          <w:rFonts w:ascii="Arial" w:eastAsia="Times New Roman" w:hAnsi="Arial" w:cs="Arial"/>
          <w:color w:val="222222"/>
          <w:kern w:val="0"/>
          <w:lang w:eastAsia="en-GB"/>
          <w14:ligatures w14:val="none"/>
        </w:rPr>
        <w:t> Understanding Martyn’s Law</w:t>
      </w:r>
    </w:p>
    <w:p w14:paraId="1B9F8BB9"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Version:</w:t>
      </w:r>
      <w:r w:rsidRPr="00411445">
        <w:rPr>
          <w:rFonts w:ascii="Arial" w:eastAsia="Times New Roman" w:hAnsi="Arial" w:cs="Arial"/>
          <w:color w:val="222222"/>
          <w:kern w:val="0"/>
          <w:lang w:eastAsia="en-GB"/>
          <w14:ligatures w14:val="none"/>
        </w:rPr>
        <w:t> 2.0</w:t>
      </w:r>
    </w:p>
    <w:p w14:paraId="52C00755"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Classification:</w:t>
      </w:r>
      <w:r w:rsidRPr="00411445">
        <w:rPr>
          <w:rFonts w:ascii="Arial" w:eastAsia="Times New Roman" w:hAnsi="Arial" w:cs="Arial"/>
          <w:color w:val="222222"/>
          <w:kern w:val="0"/>
          <w:lang w:eastAsia="en-GB"/>
          <w14:ligatures w14:val="none"/>
        </w:rPr>
        <w:t> Public Guidance</w:t>
      </w:r>
    </w:p>
    <w:p w14:paraId="2BE61A8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Owner:</w:t>
      </w:r>
      <w:r w:rsidRPr="00411445">
        <w:rPr>
          <w:rFonts w:ascii="Arial" w:eastAsia="Times New Roman" w:hAnsi="Arial" w:cs="Arial"/>
          <w:color w:val="222222"/>
          <w:kern w:val="0"/>
          <w:lang w:eastAsia="en-GB"/>
          <w14:ligatures w14:val="none"/>
        </w:rPr>
        <w:t> </w:t>
      </w:r>
      <w:proofErr w:type="spellStart"/>
      <w:r w:rsidRPr="00411445">
        <w:rPr>
          <w:rFonts w:ascii="Arial" w:eastAsia="Times New Roman" w:hAnsi="Arial" w:cs="Arial"/>
          <w:color w:val="222222"/>
          <w:kern w:val="0"/>
          <w:lang w:eastAsia="en-GB"/>
          <w14:ligatures w14:val="none"/>
        </w:rPr>
        <w:t>Meraxes</w:t>
      </w:r>
      <w:proofErr w:type="spellEnd"/>
      <w:r w:rsidRPr="00411445">
        <w:rPr>
          <w:rFonts w:ascii="Arial" w:eastAsia="Times New Roman" w:hAnsi="Arial" w:cs="Arial"/>
          <w:color w:val="222222"/>
          <w:kern w:val="0"/>
          <w:lang w:eastAsia="en-GB"/>
          <w14:ligatures w14:val="none"/>
        </w:rPr>
        <w:t xml:space="preserve"> Secure Ltd</w:t>
      </w:r>
    </w:p>
    <w:p w14:paraId="35946DEF"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Review Period:</w:t>
      </w:r>
      <w:r w:rsidRPr="00411445">
        <w:rPr>
          <w:rFonts w:ascii="Arial" w:eastAsia="Times New Roman" w:hAnsi="Arial" w:cs="Arial"/>
          <w:color w:val="222222"/>
          <w:kern w:val="0"/>
          <w:lang w:eastAsia="en-GB"/>
          <w14:ligatures w14:val="none"/>
        </w:rPr>
        <w:t> Annual or following significant legislative or regulatory change.</w:t>
      </w:r>
    </w:p>
    <w:p w14:paraId="1A4A28D7" w14:textId="77777777" w:rsidR="00411445" w:rsidRPr="00411445" w:rsidRDefault="00411445" w:rsidP="00411445">
      <w:pPr>
        <w:spacing w:after="0" w:line="240" w:lineRule="auto"/>
        <w:rPr>
          <w:rFonts w:ascii="Arial" w:eastAsia="Times New Roman" w:hAnsi="Arial" w:cs="Arial"/>
          <w:color w:val="222222"/>
          <w:kern w:val="0"/>
          <w:lang w:eastAsia="en-GB"/>
          <w14:ligatures w14:val="none"/>
        </w:rPr>
      </w:pPr>
      <w:r w:rsidRPr="00411445">
        <w:rPr>
          <w:rFonts w:ascii="Arial" w:eastAsia="Times New Roman" w:hAnsi="Arial" w:cs="Arial"/>
          <w:b/>
          <w:bCs/>
          <w:color w:val="222222"/>
          <w:kern w:val="0"/>
          <w:lang w:eastAsia="en-GB"/>
          <w14:ligatures w14:val="none"/>
        </w:rPr>
        <w:t xml:space="preserve">© </w:t>
      </w:r>
      <w:proofErr w:type="spellStart"/>
      <w:r w:rsidRPr="00411445">
        <w:rPr>
          <w:rFonts w:ascii="Arial" w:eastAsia="Times New Roman" w:hAnsi="Arial" w:cs="Arial"/>
          <w:b/>
          <w:bCs/>
          <w:color w:val="222222"/>
          <w:kern w:val="0"/>
          <w:lang w:eastAsia="en-GB"/>
          <w14:ligatures w14:val="none"/>
        </w:rPr>
        <w:t>Meraxes</w:t>
      </w:r>
      <w:proofErr w:type="spellEnd"/>
      <w:r w:rsidRPr="00411445">
        <w:rPr>
          <w:rFonts w:ascii="Arial" w:eastAsia="Times New Roman" w:hAnsi="Arial" w:cs="Arial"/>
          <w:b/>
          <w:bCs/>
          <w:color w:val="222222"/>
          <w:kern w:val="0"/>
          <w:lang w:eastAsia="en-GB"/>
          <w14:ligatures w14:val="none"/>
        </w:rPr>
        <w:t xml:space="preserve"> Secure Ltd. All rights reserved.</w:t>
      </w:r>
    </w:p>
    <w:p w14:paraId="2C24FB7C" w14:textId="77777777" w:rsidR="00411445" w:rsidRDefault="00411445"/>
    <w:sectPr w:rsidR="004114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D23EF"/>
    <w:multiLevelType w:val="multilevel"/>
    <w:tmpl w:val="98D6B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94941"/>
    <w:multiLevelType w:val="multilevel"/>
    <w:tmpl w:val="12EC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F3B5B"/>
    <w:multiLevelType w:val="multilevel"/>
    <w:tmpl w:val="82E8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14ABF"/>
    <w:multiLevelType w:val="multilevel"/>
    <w:tmpl w:val="8C76F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7F124A"/>
    <w:multiLevelType w:val="multilevel"/>
    <w:tmpl w:val="9CB8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C5CEC"/>
    <w:multiLevelType w:val="multilevel"/>
    <w:tmpl w:val="45E4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90BD4"/>
    <w:multiLevelType w:val="multilevel"/>
    <w:tmpl w:val="DE6E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03AAE"/>
    <w:multiLevelType w:val="multilevel"/>
    <w:tmpl w:val="BCDE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F02F1C"/>
    <w:multiLevelType w:val="multilevel"/>
    <w:tmpl w:val="F256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D91772"/>
    <w:multiLevelType w:val="multilevel"/>
    <w:tmpl w:val="61FE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E279B1"/>
    <w:multiLevelType w:val="multilevel"/>
    <w:tmpl w:val="94CE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80694">
    <w:abstractNumId w:val="3"/>
  </w:num>
  <w:num w:numId="2" w16cid:durableId="282078336">
    <w:abstractNumId w:val="2"/>
  </w:num>
  <w:num w:numId="3" w16cid:durableId="1066104868">
    <w:abstractNumId w:val="8"/>
  </w:num>
  <w:num w:numId="4" w16cid:durableId="1999846503">
    <w:abstractNumId w:val="5"/>
  </w:num>
  <w:num w:numId="5" w16cid:durableId="1002969147">
    <w:abstractNumId w:val="9"/>
  </w:num>
  <w:num w:numId="6" w16cid:durableId="985665235">
    <w:abstractNumId w:val="4"/>
  </w:num>
  <w:num w:numId="7" w16cid:durableId="23869390">
    <w:abstractNumId w:val="7"/>
  </w:num>
  <w:num w:numId="8" w16cid:durableId="1913587260">
    <w:abstractNumId w:val="1"/>
  </w:num>
  <w:num w:numId="9" w16cid:durableId="14237586">
    <w:abstractNumId w:val="6"/>
  </w:num>
  <w:num w:numId="10" w16cid:durableId="1916812969">
    <w:abstractNumId w:val="10"/>
  </w:num>
  <w:num w:numId="11" w16cid:durableId="60542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445"/>
    <w:rsid w:val="00411445"/>
    <w:rsid w:val="009E69EA"/>
    <w:rsid w:val="00EE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FB93"/>
  <w15:chartTrackingRefBased/>
  <w15:docId w15:val="{1B08D7A5-B4FE-8449-BE88-3E7AFFF8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4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4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4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4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4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4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4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4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4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4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4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4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4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4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4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445"/>
    <w:rPr>
      <w:rFonts w:eastAsiaTheme="majorEastAsia" w:cstheme="majorBidi"/>
      <w:color w:val="272727" w:themeColor="text1" w:themeTint="D8"/>
    </w:rPr>
  </w:style>
  <w:style w:type="paragraph" w:styleId="Title">
    <w:name w:val="Title"/>
    <w:basedOn w:val="Normal"/>
    <w:next w:val="Normal"/>
    <w:link w:val="TitleChar"/>
    <w:uiPriority w:val="10"/>
    <w:qFormat/>
    <w:rsid w:val="00411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4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4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4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445"/>
    <w:pPr>
      <w:spacing w:before="160"/>
      <w:jc w:val="center"/>
    </w:pPr>
    <w:rPr>
      <w:i/>
      <w:iCs/>
      <w:color w:val="404040" w:themeColor="text1" w:themeTint="BF"/>
    </w:rPr>
  </w:style>
  <w:style w:type="character" w:customStyle="1" w:styleId="QuoteChar">
    <w:name w:val="Quote Char"/>
    <w:basedOn w:val="DefaultParagraphFont"/>
    <w:link w:val="Quote"/>
    <w:uiPriority w:val="29"/>
    <w:rsid w:val="00411445"/>
    <w:rPr>
      <w:i/>
      <w:iCs/>
      <w:color w:val="404040" w:themeColor="text1" w:themeTint="BF"/>
    </w:rPr>
  </w:style>
  <w:style w:type="paragraph" w:styleId="ListParagraph">
    <w:name w:val="List Paragraph"/>
    <w:basedOn w:val="Normal"/>
    <w:uiPriority w:val="34"/>
    <w:qFormat/>
    <w:rsid w:val="00411445"/>
    <w:pPr>
      <w:ind w:left="720"/>
      <w:contextualSpacing/>
    </w:pPr>
  </w:style>
  <w:style w:type="character" w:styleId="IntenseEmphasis">
    <w:name w:val="Intense Emphasis"/>
    <w:basedOn w:val="DefaultParagraphFont"/>
    <w:uiPriority w:val="21"/>
    <w:qFormat/>
    <w:rsid w:val="00411445"/>
    <w:rPr>
      <w:i/>
      <w:iCs/>
      <w:color w:val="0F4761" w:themeColor="accent1" w:themeShade="BF"/>
    </w:rPr>
  </w:style>
  <w:style w:type="paragraph" w:styleId="IntenseQuote">
    <w:name w:val="Intense Quote"/>
    <w:basedOn w:val="Normal"/>
    <w:next w:val="Normal"/>
    <w:link w:val="IntenseQuoteChar"/>
    <w:uiPriority w:val="30"/>
    <w:qFormat/>
    <w:rsid w:val="00411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445"/>
    <w:rPr>
      <w:i/>
      <w:iCs/>
      <w:color w:val="0F4761" w:themeColor="accent1" w:themeShade="BF"/>
    </w:rPr>
  </w:style>
  <w:style w:type="character" w:styleId="IntenseReference">
    <w:name w:val="Intense Reference"/>
    <w:basedOn w:val="DefaultParagraphFont"/>
    <w:uiPriority w:val="32"/>
    <w:qFormat/>
    <w:rsid w:val="00411445"/>
    <w:rPr>
      <w:b/>
      <w:bCs/>
      <w:smallCaps/>
      <w:color w:val="0F4761" w:themeColor="accent1" w:themeShade="BF"/>
      <w:spacing w:val="5"/>
    </w:rPr>
  </w:style>
  <w:style w:type="character" w:customStyle="1" w:styleId="apple-converted-space">
    <w:name w:val="apple-converted-space"/>
    <w:basedOn w:val="DefaultParagraphFont"/>
    <w:rsid w:val="00411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1911</Words>
  <Characters>11777</Characters>
  <Application>Microsoft Office Word</Application>
  <DocSecurity>0</DocSecurity>
  <Lines>346</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Ryan</dc:creator>
  <cp:keywords/>
  <dc:description/>
  <cp:lastModifiedBy>sarah Ryan</cp:lastModifiedBy>
  <cp:revision>1</cp:revision>
  <cp:lastPrinted>2026-08-04T08:29:00Z</cp:lastPrinted>
  <dcterms:created xsi:type="dcterms:W3CDTF">2026-08-04T08:21:00Z</dcterms:created>
  <dcterms:modified xsi:type="dcterms:W3CDTF">2026-08-04T08:32:00Z</dcterms:modified>
</cp:coreProperties>
</file>